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2077" w:rsidR="00D80E06" w:rsidP="00452077" w:rsidRDefault="002421C6" w14:paraId="5B0E855F" w14:textId="0C84027E">
      <w:pPr>
        <w:jc w:val="center"/>
        <w:rPr>
          <w:b w:val="1"/>
          <w:bCs w:val="1"/>
        </w:rPr>
      </w:pPr>
      <w:r w:rsidRPr="6BC32BFF" w:rsidR="776D8720">
        <w:rPr>
          <w:b w:val="1"/>
          <w:bCs w:val="1"/>
          <w:u w:val="single"/>
        </w:rPr>
        <w:t>Chemistry</w:t>
      </w:r>
      <w:r w:rsidRPr="6BC32BFF" w:rsidR="5E19286C">
        <w:rPr>
          <w:b w:val="1"/>
          <w:bCs w:val="1"/>
          <w:u w:val="none"/>
        </w:rPr>
        <w:t xml:space="preserve"> </w:t>
      </w:r>
      <w:r w:rsidRPr="6BC32BFF" w:rsidR="00FD399E">
        <w:rPr>
          <w:b w:val="1"/>
          <w:bCs w:val="1"/>
        </w:rPr>
        <w:t>Units Outline</w:t>
      </w:r>
    </w:p>
    <w:p w:rsidRPr="00452077" w:rsidR="00452077" w:rsidP="00452077" w:rsidRDefault="00452077" w14:paraId="7AD7AA8B" w14:textId="2417580C">
      <w:pPr>
        <w:jc w:val="center"/>
        <w:rPr>
          <w:b/>
          <w:bCs/>
        </w:rPr>
      </w:pPr>
      <w:r w:rsidRPr="72B56F27" w:rsidR="00452077">
        <w:rPr>
          <w:b w:val="1"/>
          <w:bCs w:val="1"/>
        </w:rPr>
        <w:t>2024-2025</w:t>
      </w:r>
    </w:p>
    <w:tbl>
      <w:tblPr>
        <w:tblStyle w:val="TableGrid"/>
        <w:tblW w:w="9330" w:type="dxa"/>
        <w:tblBorders>
          <w:top w:val="single" w:sz="6"/>
          <w:left w:val="single" w:sz="6"/>
          <w:bottom w:val="single" w:sz="6"/>
          <w:right w:val="single" w:sz="6"/>
        </w:tblBorders>
        <w:tblLook w:val="04A0" w:firstRow="1" w:lastRow="0" w:firstColumn="1" w:lastColumn="0" w:noHBand="0" w:noVBand="1"/>
      </w:tblPr>
      <w:tblGrid>
        <w:gridCol w:w="2220"/>
        <w:gridCol w:w="7110"/>
      </w:tblGrid>
      <w:tr w:rsidR="72B56F27" w:rsidTr="1139A137" w14:paraId="768C5BAF">
        <w:trPr>
          <w:trHeight w:val="300"/>
        </w:trPr>
        <w:tc>
          <w:tcPr>
            <w:tcW w:w="222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0B9CA80B" w14:textId="2257582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Unit </w:t>
            </w:r>
            <w:r w:rsidRPr="72B56F27" w:rsidR="42F8CBE3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711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2F8CBE3" w:rsidP="1139A137" w:rsidRDefault="42F8CBE3" w14:paraId="16317DE8" w14:textId="6E2D0D4B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42F8CBE3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Reaction Rates and Equilibrium</w:t>
            </w:r>
          </w:p>
        </w:tc>
      </w:tr>
      <w:tr w:rsidR="72B56F27" w:rsidTr="1139A137" w14:paraId="6F87606A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31CE9ED3" w14:textId="02F0413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Learning Targets: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1139A137" w:rsidRDefault="72B56F27" w14:paraId="06E70ECA" w14:textId="114DBD9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019D2EC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8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A – </w:t>
            </w:r>
            <w:r w:rsidRPr="1139A137" w:rsidR="026424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Develop and use models to describe solutions in terms of the number of solute particles, </w:t>
            </w:r>
            <w:r w:rsidRPr="1139A137" w:rsidR="026424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volume</w:t>
            </w:r>
            <w:r w:rsidRPr="1139A137" w:rsidR="026424C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and Molarity of sol</w:t>
            </w:r>
            <w:r w:rsidRPr="1139A137" w:rsidR="732502C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utions.</w:t>
            </w:r>
          </w:p>
          <w:p w:rsidR="72B56F27" w:rsidP="1139A137" w:rsidRDefault="72B56F27" w14:paraId="3AA7893E" w14:textId="252FB13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47F6529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8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B – </w:t>
            </w:r>
            <w:r w:rsidRPr="1139A137" w:rsidR="3A0E53F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Develop and/or use a model to predict and explain how changing temperature and concentration affect the rate of a chemical reaction.</w:t>
            </w:r>
          </w:p>
          <w:p w:rsidR="72B56F27" w:rsidP="1139A137" w:rsidRDefault="72B56F27" w14:paraId="24B3D906" w14:textId="7FE3150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6CC5E0B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8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C – </w:t>
            </w:r>
            <w:r w:rsidRPr="1139A137" w:rsidR="3815029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Refine a chemical system by </w:t>
            </w:r>
            <w:r w:rsidRPr="1139A137" w:rsidR="3815029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identifying</w:t>
            </w:r>
            <w:r w:rsidRPr="1139A137" w:rsidR="3815029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changes in conditions that will increase the amount of paroducts at equilibrium.</w:t>
            </w:r>
          </w:p>
        </w:tc>
      </w:tr>
      <w:tr w:rsidR="72B56F27" w:rsidTr="1139A137" w14:paraId="449747EA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56200506" w14:textId="44F630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Assessment(s) for Evidence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0C20BF70" w14:textId="6EC55F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Test - (practice quizzes for review)</w:t>
            </w:r>
          </w:p>
          <w:p w:rsidR="72B56F27" w:rsidP="72B56F27" w:rsidRDefault="72B56F27" w14:paraId="5CC14EAD" w14:textId="189F1E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72B56F27" w:rsidRDefault="72B56F27" w14:paraId="10E85916" w14:textId="7799FD5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2B56F27" w:rsidTr="1139A137" w14:paraId="1394F332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78BFC390" w14:textId="0564654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Resources/Links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1139A137" w:rsidRDefault="72B56F27" w14:paraId="65B39FF2" w14:textId="7068DB5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Binder Materials</w:t>
            </w:r>
          </w:p>
          <w:p w:rsidR="72B56F27" w:rsidP="1139A137" w:rsidRDefault="72B56F27" w14:paraId="45A1E607" w14:textId="7284EA8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0DBF0FAE" w14:textId="4CA4508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2F1AFC77" w14:textId="2E1383E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2471FB0E" w14:textId="62C5166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35CF30EF" w14:textId="0496ADA9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41CBC0E3" w14:textId="4FDAE70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62760F9B" w14:textId="0EF390A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2B56F27" w:rsidTr="1139A137" w14:paraId="22E23963">
        <w:trPr>
          <w:trHeight w:val="300"/>
        </w:trPr>
        <w:tc>
          <w:tcPr>
            <w:tcW w:w="222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72B56F27" w:rsidP="1139A137" w:rsidRDefault="72B56F27" w14:paraId="53E26D9C" w14:textId="49583D83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139A137" w:rsidR="7F6F261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Unit 7</w:t>
            </w:r>
          </w:p>
          <w:p w:rsidR="72B56F27" w:rsidP="72B56F27" w:rsidRDefault="72B56F27" w14:paraId="64F6A4DB" w14:textId="3A7E6BD1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711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71A99B39" w:rsidP="1139A137" w:rsidRDefault="71A99B39" w14:paraId="5A887EB0" w14:textId="6642F7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1A99B39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Stoichiometry</w:t>
            </w:r>
          </w:p>
        </w:tc>
      </w:tr>
      <w:tr w:rsidR="72B56F27" w:rsidTr="1139A137" w14:paraId="0FA335FE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2B128E62" w14:textId="02F0413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Learning Targets: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1139A137" w:rsidRDefault="72B56F27" w14:paraId="411C31B8" w14:textId="086F336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403D897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7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A – </w:t>
            </w:r>
            <w:r w:rsidRPr="1139A137" w:rsidR="625E01E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Account for changes in mass in a chemical reaction using stoichiometric calculations and justify using the law of conservation of matter.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72B56F27" w:rsidP="1139A137" w:rsidRDefault="72B56F27" w14:paraId="50871F9D" w14:textId="60359D1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01B66C7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7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B – </w:t>
            </w:r>
            <w:r w:rsidRPr="1139A137" w:rsidR="0CB0F96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Develop a model to illustrate that the release or absorption of energy from a chemical reaction system depends upon the changes in total bond energy.</w:t>
            </w:r>
          </w:p>
          <w:p w:rsidR="72B56F27" w:rsidP="1139A137" w:rsidRDefault="72B56F27" w14:paraId="298CFFA4" w14:textId="248E6B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2B56F27" w:rsidTr="1139A137" w14:paraId="0B8EF85A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40150823" w14:textId="44F630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Assessment(s) for Evidence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3EF53788" w14:textId="6EC55F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Test - (practice quizzes for review)</w:t>
            </w:r>
          </w:p>
          <w:p w:rsidR="72B56F27" w:rsidP="72B56F27" w:rsidRDefault="72B56F27" w14:paraId="6CBB7FA4" w14:textId="189F1E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72B56F27" w:rsidRDefault="72B56F27" w14:paraId="617769CB" w14:textId="7799FD5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2B56F27" w:rsidTr="1139A137" w14:paraId="7AC5B43A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14A546C0" w14:textId="0564654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Resources/Links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1811C67E" w14:textId="595BB7E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Binder Materials</w:t>
            </w:r>
          </w:p>
        </w:tc>
      </w:tr>
      <w:tr w:rsidR="1139A137" w:rsidTr="1139A137" w14:paraId="2B13C70F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1139A137" w:rsidP="1139A137" w:rsidRDefault="1139A137" w14:paraId="7B0683B6" w14:textId="6DEF8E33">
            <w:pPr>
              <w:pStyle w:val="Normal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139A137" w:rsidP="1139A137" w:rsidRDefault="1139A137" w14:paraId="31651574" w14:textId="20F38074">
            <w:pPr>
              <w:pStyle w:val="Normal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139A137" w:rsidP="1139A137" w:rsidRDefault="1139A137" w14:paraId="77A096C7" w14:textId="6E272FDE">
            <w:pPr>
              <w:pStyle w:val="Normal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139A137" w:rsidP="1139A137" w:rsidRDefault="1139A137" w14:paraId="30FB5415" w14:textId="195EACBD">
            <w:pPr>
              <w:pStyle w:val="Normal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139A137" w:rsidP="1139A137" w:rsidRDefault="1139A137" w14:paraId="25655531" w14:textId="697A736B">
            <w:pPr>
              <w:pStyle w:val="Normal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139A137" w:rsidP="1139A137" w:rsidRDefault="1139A137" w14:paraId="5AB07D7B" w14:textId="64ADFAE6">
            <w:pPr>
              <w:pStyle w:val="Normal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139A137" w:rsidP="1139A137" w:rsidRDefault="1139A137" w14:paraId="42EC157C" w14:textId="142485B7">
            <w:pPr>
              <w:pStyle w:val="Normal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139A137" w:rsidP="1139A137" w:rsidRDefault="1139A137" w14:paraId="0B9C1749" w14:textId="0DFE1156">
            <w:pPr>
              <w:pStyle w:val="Normal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1139A137" w:rsidP="1139A137" w:rsidRDefault="1139A137" w14:paraId="0B1B2FC3" w14:textId="417952F3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2B56F27" w:rsidTr="1139A137" w14:paraId="647C4DC7">
        <w:trPr>
          <w:trHeight w:val="300"/>
        </w:trPr>
        <w:tc>
          <w:tcPr>
            <w:tcW w:w="222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7C9E76AB" w14:textId="7CC869A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Unit </w:t>
            </w:r>
            <w:r w:rsidRPr="72B56F27" w:rsidR="048BF74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711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048BF742" w:rsidP="1139A137" w:rsidRDefault="048BF742" w14:paraId="5C1D5890" w14:textId="7C9C75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048BF742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Chemical Reactions</w:t>
            </w:r>
          </w:p>
        </w:tc>
      </w:tr>
      <w:tr w:rsidR="72B56F27" w:rsidTr="1139A137" w14:paraId="248965AC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55811983" w14:textId="02F0413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Learning Targets: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1139A137" w:rsidRDefault="72B56F27" w14:paraId="69AB3A3B" w14:textId="3685BA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7A25E26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6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A – </w:t>
            </w:r>
            <w:r w:rsidRPr="1139A137" w:rsidR="71E219C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Justify the outcome of a complex chemical reaction using patterns of attraction, valence electrons, and/or electronegativit</w:t>
            </w:r>
            <w:r w:rsidRPr="1139A137" w:rsidR="010F33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y.</w:t>
            </w:r>
          </w:p>
          <w:p w:rsidR="72B56F27" w:rsidP="1139A137" w:rsidRDefault="72B56F27" w14:paraId="1C91F62C" w14:textId="168DAA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073E1C0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6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B – </w:t>
            </w:r>
            <w:r w:rsidRPr="1139A137" w:rsidR="08A234F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Justify the claims that atoms and therefore mass are conserved in a chemical reaction.</w:t>
            </w:r>
          </w:p>
          <w:p w:rsidR="72B56F27" w:rsidP="1139A137" w:rsidRDefault="72B56F27" w14:paraId="119D9B17" w14:textId="202F81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4A78F53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6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C – Develop and use </w:t>
            </w:r>
            <w:r w:rsidRPr="1139A137" w:rsidR="6B0DDC4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a 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model to </w:t>
            </w:r>
            <w:r w:rsidRPr="1139A137" w:rsidR="47627CC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explain how energy changes can be accounted for as atoms are rearranged during chemical reactions.</w:t>
            </w:r>
          </w:p>
        </w:tc>
      </w:tr>
      <w:tr w:rsidR="72B56F27" w:rsidTr="1139A137" w14:paraId="333C921D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3D1E9597" w14:textId="44F630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Assessment(s) for Evidence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31B0EA63" w14:textId="6EC55F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Test - (practice quizzes for review)</w:t>
            </w:r>
          </w:p>
          <w:p w:rsidR="72B56F27" w:rsidP="72B56F27" w:rsidRDefault="72B56F27" w14:paraId="41895A49" w14:textId="189F1E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72B56F27" w:rsidRDefault="72B56F27" w14:paraId="3780979E" w14:textId="7799FD5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2B56F27" w:rsidTr="1139A137" w14:paraId="73845C70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504315CC" w14:textId="0564654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Resources/Links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1139A137" w:rsidRDefault="72B56F27" w14:paraId="5D250232" w14:textId="67B511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Binder Materials</w:t>
            </w:r>
          </w:p>
          <w:p w:rsidR="72B56F27" w:rsidP="1139A137" w:rsidRDefault="72B56F27" w14:paraId="4CADAFB4" w14:textId="54F931C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3205E6C1" w14:textId="4D17AC74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6E275524" w14:textId="038C1A3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25A926C6" w14:textId="79414E8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1139A137" w:rsidRDefault="72B56F27" w14:paraId="24A9E970" w14:textId="1F02C9F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2B56F27" w:rsidTr="1139A137" w14:paraId="104E53E3">
        <w:trPr>
          <w:trHeight w:val="300"/>
        </w:trPr>
        <w:tc>
          <w:tcPr>
            <w:tcW w:w="222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507D7F40" w14:textId="32B4A64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Unit </w:t>
            </w:r>
            <w:r w:rsidRPr="72B56F27" w:rsidR="4FE0D485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7110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FE0D485" w:rsidP="1139A137" w:rsidRDefault="4FE0D485" w14:paraId="11A61C28" w14:textId="44C3178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4FE0D485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Bonding</w:t>
            </w:r>
          </w:p>
        </w:tc>
      </w:tr>
      <w:tr w:rsidR="72B56F27" w:rsidTr="1139A137" w14:paraId="73685AA2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74D76A7B" w14:textId="02F0413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Learning Targets: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1139A137" w:rsidRDefault="72B56F27" w14:paraId="383008E1" w14:textId="4A88CF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53C944A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A – P</w:t>
            </w:r>
            <w:r w:rsidRPr="1139A137" w:rsidR="4A323B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redict the number and type of bonds formed</w:t>
            </w:r>
            <w:r w:rsidRPr="1139A137" w:rsidR="7753E9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(</w:t>
            </w:r>
            <w:r w:rsidRPr="1139A137" w:rsidR="7753E9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i.e.</w:t>
            </w:r>
            <w:r w:rsidRPr="1139A137" w:rsidR="7753E9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ionic, covalent, metallic) between elements and name the compound.</w:t>
            </w:r>
          </w:p>
          <w:p w:rsidR="72B56F27" w:rsidP="1139A137" w:rsidRDefault="72B56F27" w14:paraId="0040B2AB" w14:textId="03D9AF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</w:t>
            </w:r>
            <w:r w:rsidRPr="1139A137" w:rsidR="2EE897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5</w:t>
            </w:r>
            <w:r w:rsidRPr="1139A13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B – </w:t>
            </w:r>
            <w:r w:rsidRPr="1139A137" w:rsidR="5A9F932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Students conduct an investigation for the outcome of a given combination or decomposition reaction, based on outermost electrons, </w:t>
            </w:r>
            <w:r w:rsidRPr="1139A137" w:rsidR="47E1F8B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electronegativity and/or conservation of mass.</w:t>
            </w:r>
          </w:p>
          <w:p w:rsidR="72B56F27" w:rsidP="1139A137" w:rsidRDefault="72B56F27" w14:paraId="6459869B" w14:textId="1DF860E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2B56F27" w:rsidTr="1139A137" w14:paraId="6E41F7E7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1092A450" w14:textId="44F630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Assessment(s) for Evidence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4AF783AB" w14:textId="6EC55F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Test - (practice quizzes for review)</w:t>
            </w:r>
          </w:p>
          <w:p w:rsidR="72B56F27" w:rsidP="72B56F27" w:rsidRDefault="72B56F27" w14:paraId="5B835E22" w14:textId="189F1E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B56F27" w:rsidP="72B56F27" w:rsidRDefault="72B56F27" w14:paraId="069BBD36" w14:textId="7799FD5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2B56F27" w:rsidTr="1139A137" w14:paraId="2FE0CF72">
        <w:trPr>
          <w:trHeight w:val="300"/>
        </w:trPr>
        <w:tc>
          <w:tcPr>
            <w:tcW w:w="222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0D326C3C" w14:textId="0564654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Resources/Links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72B56F27" w:rsidP="72B56F27" w:rsidRDefault="72B56F27" w14:paraId="65477E98" w14:textId="595BB7E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B56F27" w:rsidR="72B56F2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Binder Materials</w:t>
            </w:r>
          </w:p>
        </w:tc>
      </w:tr>
    </w:tbl>
    <w:p w:rsidR="700821F4" w:rsidP="700821F4" w:rsidRDefault="700821F4" w14:paraId="7E062FCF" w14:textId="4AE15CEF">
      <w:pPr>
        <w:jc w:val="center"/>
        <w:rPr>
          <w:b w:val="1"/>
          <w:bCs w:val="1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185"/>
      </w:tblGrid>
      <w:tr w:rsidR="700821F4" w:rsidTr="1139A137" w14:paraId="55D28FB6">
        <w:trPr>
          <w:trHeight w:val="300"/>
        </w:trPr>
        <w:tc>
          <w:tcPr>
            <w:tcW w:w="214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700821F4" w:rsidP="700821F4" w:rsidRDefault="700821F4" w14:paraId="011A0DD0" w14:textId="1A135D6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700821F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Unit </w:t>
            </w:r>
            <w:r w:rsidRPr="700821F4" w:rsidR="4669B65A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718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4669B65A" w:rsidP="1139A137" w:rsidRDefault="4669B65A" w14:paraId="442BB63E" w14:textId="0A8E5C68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B242A30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Kinetic Molecular Theory</w:t>
            </w:r>
          </w:p>
        </w:tc>
      </w:tr>
      <w:tr w:rsidR="700821F4" w:rsidTr="1139A137" w14:paraId="034FE00E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700821F4" w:rsidP="700821F4" w:rsidRDefault="700821F4" w14:paraId="28CC60B0" w14:textId="02F0413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700821F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Learning Targets: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  <w:vAlign w:val="top"/>
          </w:tcPr>
          <w:p w:rsidR="61C4CF9F" w:rsidP="700821F4" w:rsidRDefault="61C4CF9F" w14:paraId="529FB42C" w14:textId="52F467B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61C4CF9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LT4A – Plan and </w:t>
            </w:r>
            <w:r w:rsidRPr="700821F4" w:rsidR="61C4CF9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conduct an investigation</w:t>
            </w:r>
            <w:r w:rsidRPr="700821F4" w:rsidR="61C4CF9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to gather evidence to show how changes at the bulk scale (such as volume and temperature) can be explained by changes in particle motion and/or collisions.</w:t>
            </w:r>
          </w:p>
          <w:p w:rsidR="61C4CF9F" w:rsidP="700821F4" w:rsidRDefault="61C4CF9F" w14:paraId="1FB57430" w14:textId="55C1245D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61C4CF9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LT4B – Apply scientific principles and evidence to </w:t>
            </w:r>
            <w:r w:rsidRPr="700821F4" w:rsidR="61C4CF9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provide</w:t>
            </w:r>
            <w:r w:rsidRPr="700821F4" w:rsidR="61C4CF9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an explanation about the effects of changing particle motion, particle spacing, and/or particle concentration on particle collisions.</w:t>
            </w:r>
          </w:p>
          <w:p w:rsidR="61C4CF9F" w:rsidP="700821F4" w:rsidRDefault="61C4CF9F" w14:paraId="47B304C4" w14:textId="6EE3D33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61C4CF9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LT4C – Develop and use models to illustrate that energy at the macroscopic scale can be accounted for as a combination of energy associated with the motion of particles (objects) and energy asso</w:t>
            </w:r>
            <w:r w:rsidRPr="700821F4" w:rsidR="13F8000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ciated with the relative positions of particles.</w:t>
            </w:r>
          </w:p>
        </w:tc>
      </w:tr>
      <w:tr w:rsidR="700821F4" w:rsidTr="1139A137" w14:paraId="55E80F07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700821F4" w:rsidP="700821F4" w:rsidRDefault="700821F4" w14:paraId="5B8A428C" w14:textId="44F6300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700821F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Assessment(s) for Evidence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  <w:vAlign w:val="top"/>
          </w:tcPr>
          <w:p w:rsidR="115AD5F4" w:rsidP="700821F4" w:rsidRDefault="115AD5F4" w14:paraId="3D37E13C" w14:textId="6EC55F4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115AD5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Test - (practice quizzes for review)</w:t>
            </w:r>
          </w:p>
          <w:p w:rsidR="700821F4" w:rsidP="700821F4" w:rsidRDefault="700821F4" w14:paraId="6CB213B3" w14:textId="189F1E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00821F4" w:rsidP="700821F4" w:rsidRDefault="700821F4" w14:paraId="47A9DF19" w14:textId="7799FD5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00821F4" w:rsidTr="1139A137" w14:paraId="095EF1C0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700821F4" w:rsidP="700821F4" w:rsidRDefault="700821F4" w14:paraId="4CAB7BD1" w14:textId="0564654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700821F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Resources/Links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  <w:vAlign w:val="top"/>
          </w:tcPr>
          <w:p w:rsidR="13379683" w:rsidP="700821F4" w:rsidRDefault="13379683" w14:paraId="45347262" w14:textId="595BB7E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13379683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Binder Materials</w:t>
            </w:r>
          </w:p>
        </w:tc>
      </w:tr>
    </w:tbl>
    <w:p w:rsidR="700821F4" w:rsidP="700821F4" w:rsidRDefault="700821F4" w14:paraId="639FD511" w14:textId="7494AA81">
      <w:pPr>
        <w:jc w:val="center"/>
        <w:rPr>
          <w:b w:val="1"/>
          <w:bCs w:val="1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185"/>
      </w:tblGrid>
      <w:tr w:rsidR="700821F4" w:rsidTr="1139A137" w14:paraId="2245C478">
        <w:trPr>
          <w:trHeight w:val="300"/>
        </w:trPr>
        <w:tc>
          <w:tcPr>
            <w:tcW w:w="214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700821F4" w:rsidP="700821F4" w:rsidRDefault="700821F4" w14:paraId="47FD65A3" w14:textId="5C73D8D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700821F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Unit </w:t>
            </w:r>
            <w:r w:rsidRPr="700821F4" w:rsidR="525B698D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718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top"/>
          </w:tcPr>
          <w:p w:rsidR="525B698D" w:rsidP="1139A137" w:rsidRDefault="525B698D" w14:paraId="4CB00E91" w14:textId="273F3372">
            <w:pPr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39A137" w:rsidR="70A78EC5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Energy Transfer</w:t>
            </w:r>
          </w:p>
        </w:tc>
      </w:tr>
      <w:tr w:rsidR="700821F4" w:rsidTr="1139A137" w14:paraId="616291A0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700821F4" w:rsidP="700821F4" w:rsidRDefault="700821F4" w14:paraId="7F3BDF82" w14:textId="780BCB2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700821F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Learning Targets: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  <w:vAlign w:val="top"/>
          </w:tcPr>
          <w:p w:rsidR="53CD3529" w:rsidP="700821F4" w:rsidRDefault="53CD3529" w14:paraId="50017538" w14:textId="06D55D0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53CD352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LT3A – Plan and </w:t>
            </w:r>
            <w:r w:rsidRPr="700821F4" w:rsidR="53CD352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conduct an investigation</w:t>
            </w:r>
            <w:r w:rsidRPr="700821F4" w:rsidR="53CD352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to gather evidence about changes in energy that occur through a series of </w:t>
            </w:r>
            <w:r w:rsidRPr="700821F4" w:rsidR="53CD352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phas</w:t>
            </w:r>
            <w:r w:rsidRPr="700821F4" w:rsidR="53CD352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e changes and how they relate to electrical forces between particles.</w:t>
            </w:r>
          </w:p>
          <w:p w:rsidR="53CD3529" w:rsidP="700821F4" w:rsidRDefault="53CD3529" w14:paraId="367A07F6" w14:textId="700BC41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53CD352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LT3B – Create a computational model to calculate the change in energy in a system when thermal energy changes to support a claim about the principle of conservation of energy.</w:t>
            </w:r>
          </w:p>
          <w:p w:rsidR="53CD3529" w:rsidP="700821F4" w:rsidRDefault="53CD3529" w14:paraId="714A4699" w14:textId="1427563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53CD352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LT3C – Develop and use models to illustrate that energy at the macroscopic scale can be accounted for as a combination of energy associated with the motion of particles (thermal energy</w:t>
            </w:r>
            <w:r w:rsidRPr="700821F4" w:rsidR="0B8846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), position of particles (phase energy) and bonds (chemical energy)</w:t>
            </w:r>
          </w:p>
          <w:p w:rsidR="0B884659" w:rsidP="700821F4" w:rsidRDefault="0B884659" w14:paraId="69FD9FBE" w14:textId="42F9712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0B8846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LT3D – Plan and </w:t>
            </w:r>
            <w:r w:rsidRPr="700821F4" w:rsidR="0B8846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conduct an investigation</w:t>
            </w:r>
            <w:r w:rsidRPr="700821F4" w:rsidR="0B8846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to provide evidence that the transfer of thermal energy when two components of different temperatures are combined within a closed system results in a more </w:t>
            </w:r>
            <w:r w:rsidRPr="700821F4" w:rsidR="232F89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uniform</w:t>
            </w:r>
            <w:r w:rsidRPr="700821F4" w:rsidR="0B8846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energy distribution among the compone</w:t>
            </w:r>
            <w:r w:rsidRPr="700821F4" w:rsidR="7E25075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nts in the system.</w:t>
            </w:r>
          </w:p>
        </w:tc>
      </w:tr>
      <w:tr w:rsidR="700821F4" w:rsidTr="1139A137" w14:paraId="5218CE22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700821F4" w:rsidP="700821F4" w:rsidRDefault="700821F4" w14:paraId="72D37D10" w14:textId="35727DE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700821F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Assessment(s) for Evidence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  <w:vAlign w:val="top"/>
          </w:tcPr>
          <w:p w:rsidR="51D2893B" w:rsidP="700821F4" w:rsidRDefault="51D2893B" w14:paraId="6E497C24" w14:textId="0538125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51D2893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Test - (practice quizzes for review)</w:t>
            </w:r>
          </w:p>
          <w:p w:rsidR="700821F4" w:rsidP="700821F4" w:rsidRDefault="700821F4" w14:paraId="65363110" w14:textId="589ECDD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00821F4" w:rsidP="700821F4" w:rsidRDefault="700821F4" w14:paraId="18FDFD42" w14:textId="2535E59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00821F4" w:rsidTr="1139A137" w14:paraId="30048907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  <w:vAlign w:val="top"/>
          </w:tcPr>
          <w:p w:rsidR="700821F4" w:rsidP="700821F4" w:rsidRDefault="700821F4" w14:paraId="4603AC11" w14:textId="30E7775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700821F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Resources/Links</w:t>
            </w:r>
          </w:p>
        </w:tc>
        <w:tc>
          <w:tcPr>
            <w:tcW w:w="7185" w:type="dxa"/>
            <w:tcMar>
              <w:left w:w="105" w:type="dxa"/>
              <w:right w:w="105" w:type="dxa"/>
            </w:tcMar>
            <w:vAlign w:val="top"/>
          </w:tcPr>
          <w:p w:rsidR="4E5EB4B1" w:rsidP="700821F4" w:rsidRDefault="4E5EB4B1" w14:paraId="262824E4" w14:textId="297B2AE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0821F4" w:rsidR="4E5EB4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Binder Materials</w:t>
            </w:r>
          </w:p>
        </w:tc>
      </w:tr>
    </w:tbl>
    <w:p w:rsidR="700821F4" w:rsidP="700821F4" w:rsidRDefault="700821F4" w14:paraId="64799939" w14:textId="75C84098">
      <w:pPr>
        <w:jc w:val="center"/>
        <w:rPr>
          <w:b w:val="1"/>
          <w:bCs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452077" w:rsidTr="700821F4" w14:paraId="0E7980C5" w14:textId="31B7F6D4">
        <w:tc>
          <w:tcPr>
            <w:tcW w:w="2155" w:type="dxa"/>
            <w:shd w:val="clear" w:color="auto" w:fill="FAE2D5" w:themeFill="accent2" w:themeFillTint="33"/>
            <w:tcMar/>
          </w:tcPr>
          <w:p w:rsidRPr="00452077" w:rsidR="00452077" w:rsidP="00452077" w:rsidRDefault="00452077" w14:paraId="66881AD0" w14:textId="4DABB679">
            <w:pPr>
              <w:rPr>
                <w:b w:val="1"/>
                <w:bCs w:val="1"/>
              </w:rPr>
            </w:pPr>
            <w:r w:rsidRPr="700821F4" w:rsidR="00452077">
              <w:rPr>
                <w:b w:val="1"/>
                <w:bCs w:val="1"/>
              </w:rPr>
              <w:t>Unit</w:t>
            </w:r>
            <w:r w:rsidRPr="700821F4" w:rsidR="2E941B21">
              <w:rPr>
                <w:b w:val="1"/>
                <w:bCs w:val="1"/>
              </w:rPr>
              <w:t xml:space="preserve"> </w:t>
            </w:r>
            <w:r w:rsidRPr="700821F4" w:rsidR="3D407AA4">
              <w:rPr>
                <w:b w:val="1"/>
                <w:bCs w:val="1"/>
              </w:rPr>
              <w:t>2</w:t>
            </w:r>
          </w:p>
        </w:tc>
        <w:tc>
          <w:tcPr>
            <w:tcW w:w="7195" w:type="dxa"/>
            <w:shd w:val="clear" w:color="auto" w:fill="FAE2D5" w:themeFill="accent2" w:themeFillTint="33"/>
            <w:tcMar/>
          </w:tcPr>
          <w:p w:rsidRPr="002421C6" w:rsidR="00452077" w:rsidP="00452077" w:rsidRDefault="002421C6" w14:paraId="7984E76C" w14:textId="4FCC6497">
            <w:pPr>
              <w:rPr>
                <w:b w:val="1"/>
                <w:bCs w:val="1"/>
              </w:rPr>
            </w:pPr>
            <w:r w:rsidRPr="700821F4" w:rsidR="1584B265">
              <w:rPr>
                <w:b w:val="1"/>
                <w:bCs w:val="1"/>
              </w:rPr>
              <w:t>Atomic Trends</w:t>
            </w:r>
          </w:p>
        </w:tc>
      </w:tr>
      <w:tr w:rsidR="00452077" w:rsidTr="700821F4" w14:paraId="51950C14" w14:textId="7AAF1437">
        <w:tc>
          <w:tcPr>
            <w:tcW w:w="2155" w:type="dxa"/>
            <w:tcMar/>
          </w:tcPr>
          <w:p w:rsidRPr="00452077" w:rsidR="00452077" w:rsidP="00452077" w:rsidRDefault="00452077" w14:paraId="664DCBEC" w14:textId="40A5AC75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7195" w:type="dxa"/>
            <w:tcMar/>
          </w:tcPr>
          <w:p w:rsidR="00452077" w:rsidP="00452077" w:rsidRDefault="00452077" w14:paraId="407A740F" w14:textId="416F90D7">
            <w:r w:rsidR="2DAEEE2F">
              <w:rPr/>
              <w:t xml:space="preserve">LT2A – Identify and describe elements and their arrangement in the periodic table, their atomic structure, valence electrons, and number of </w:t>
            </w:r>
            <w:r w:rsidR="2DAEEE2F">
              <w:rPr/>
              <w:t>proton</w:t>
            </w:r>
            <w:r w:rsidR="2DAEEE2F">
              <w:rPr/>
              <w:t>s using the periodic table.</w:t>
            </w:r>
          </w:p>
          <w:p w:rsidR="00452077" w:rsidP="00452077" w:rsidRDefault="00452077" w14:paraId="2DF86A34" w14:textId="610E549C">
            <w:r w:rsidR="2DAEEE2F">
              <w:rPr/>
              <w:t xml:space="preserve">LT2B – Predict the number and charges in stable ions that form in atoms of a group of the periodic table as well as the number of bonds that are </w:t>
            </w:r>
            <w:r w:rsidR="2DAEEE2F">
              <w:rPr/>
              <w:t>likely t</w:t>
            </w:r>
            <w:r w:rsidR="2DAEEE2F">
              <w:rPr/>
              <w:t>o form.</w:t>
            </w:r>
          </w:p>
          <w:p w:rsidR="00452077" w:rsidP="00452077" w:rsidRDefault="00452077" w14:paraId="29A77718" w14:textId="3896C057">
            <w:r w:rsidR="2DAEEE2F">
              <w:rPr/>
              <w:t>LT2C – Predict the trends in atomic size, reactivity, and electronegativity of atoms down a group and across a row in the periodic table, based on attractions and repulsion of electrically charged particles.</w:t>
            </w:r>
          </w:p>
        </w:tc>
      </w:tr>
      <w:tr w:rsidR="00452077" w:rsidTr="700821F4" w14:paraId="557263E9" w14:textId="1890A9F7">
        <w:tc>
          <w:tcPr>
            <w:tcW w:w="2155" w:type="dxa"/>
            <w:tcMar/>
          </w:tcPr>
          <w:p w:rsidRPr="00452077" w:rsidR="00452077" w:rsidP="00452077" w:rsidRDefault="00452077" w14:paraId="5DFD31F5" w14:textId="1108F902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7195" w:type="dxa"/>
            <w:tcMar/>
          </w:tcPr>
          <w:p w:rsidR="00452077" w:rsidP="00452077" w:rsidRDefault="00452077" w14:paraId="764535EB" w14:textId="5D44E61F">
            <w:r w:rsidR="78A03017">
              <w:rPr/>
              <w:t>Periodic Table Test (practice quizzes for review)</w:t>
            </w:r>
          </w:p>
          <w:p w:rsidR="00452077" w:rsidP="00452077" w:rsidRDefault="00452077" w14:paraId="21D881B4" w14:textId="77777777"/>
          <w:p w:rsidR="00452077" w:rsidP="00452077" w:rsidRDefault="00452077" w14:paraId="00D51ED5" w14:textId="77777777"/>
        </w:tc>
      </w:tr>
      <w:tr w:rsidR="002B30A3" w:rsidTr="700821F4" w14:paraId="7978042F" w14:textId="77777777">
        <w:tc>
          <w:tcPr>
            <w:tcW w:w="2155" w:type="dxa"/>
            <w:tcMar/>
          </w:tcPr>
          <w:p w:rsidRPr="00452077" w:rsidR="002B30A3" w:rsidP="00452077" w:rsidRDefault="002B30A3" w14:paraId="53A7BDB6" w14:textId="7B0FC6B7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7195" w:type="dxa"/>
            <w:tcMar/>
          </w:tcPr>
          <w:p w:rsidR="002B30A3" w:rsidP="00452077" w:rsidRDefault="002B30A3" w14:paraId="6525E2BB" w14:textId="3661401C">
            <w:r w:rsidR="6BFF19EE">
              <w:rPr/>
              <w:t>Binder Materials</w:t>
            </w:r>
          </w:p>
        </w:tc>
      </w:tr>
    </w:tbl>
    <w:p w:rsidR="00452077" w:rsidP="00452077" w:rsidRDefault="00452077" w14:paraId="560C1F9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700821F4" w:rsidTr="700821F4" w14:paraId="292F628F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700821F4" w:rsidP="700821F4" w:rsidRDefault="700821F4" w14:paraId="0683E06E" w14:textId="441619DA">
            <w:pPr>
              <w:rPr>
                <w:b w:val="1"/>
                <w:bCs w:val="1"/>
              </w:rPr>
            </w:pPr>
            <w:r w:rsidRPr="700821F4" w:rsidR="700821F4">
              <w:rPr>
                <w:b w:val="1"/>
                <w:bCs w:val="1"/>
              </w:rPr>
              <w:t>Unit</w:t>
            </w:r>
            <w:r w:rsidRPr="700821F4" w:rsidR="700821F4">
              <w:rPr>
                <w:b w:val="1"/>
                <w:bCs w:val="1"/>
              </w:rPr>
              <w:t xml:space="preserve"> </w:t>
            </w:r>
            <w:r w:rsidRPr="700821F4" w:rsidR="700821F4">
              <w:rPr>
                <w:b w:val="1"/>
                <w:bCs w:val="1"/>
              </w:rPr>
              <w:t>1</w:t>
            </w:r>
          </w:p>
        </w:tc>
        <w:tc>
          <w:tcPr>
            <w:tcW w:w="7195" w:type="dxa"/>
            <w:shd w:val="clear" w:color="auto" w:fill="FAE2D5" w:themeFill="accent2" w:themeFillTint="33"/>
            <w:tcMar/>
          </w:tcPr>
          <w:p w:rsidR="44196377" w:rsidP="700821F4" w:rsidRDefault="44196377" w14:paraId="30D0254C" w14:textId="1E46858B">
            <w:pPr>
              <w:rPr>
                <w:b w:val="1"/>
                <w:bCs w:val="1"/>
              </w:rPr>
            </w:pPr>
            <w:r w:rsidRPr="700821F4" w:rsidR="44196377">
              <w:rPr>
                <w:b w:val="1"/>
                <w:bCs w:val="1"/>
              </w:rPr>
              <w:t>Properties of Matter</w:t>
            </w:r>
          </w:p>
        </w:tc>
      </w:tr>
      <w:tr w:rsidR="700821F4" w:rsidTr="700821F4" w14:paraId="6E7E2D59">
        <w:trPr>
          <w:trHeight w:val="300"/>
        </w:trPr>
        <w:tc>
          <w:tcPr>
            <w:tcW w:w="2155" w:type="dxa"/>
            <w:tcMar/>
          </w:tcPr>
          <w:p w:rsidR="700821F4" w:rsidP="700821F4" w:rsidRDefault="700821F4" w14:paraId="3402A418" w14:textId="40A5AC75">
            <w:pPr>
              <w:rPr>
                <w:b w:val="1"/>
                <w:bCs w:val="1"/>
              </w:rPr>
            </w:pPr>
            <w:r w:rsidRPr="700821F4" w:rsidR="700821F4">
              <w:rPr>
                <w:b w:val="1"/>
                <w:bCs w:val="1"/>
              </w:rPr>
              <w:t>Learning Targets:</w:t>
            </w:r>
          </w:p>
        </w:tc>
        <w:tc>
          <w:tcPr>
            <w:tcW w:w="7195" w:type="dxa"/>
            <w:tcMar/>
          </w:tcPr>
          <w:p w:rsidR="25B6CEED" w:rsidRDefault="25B6CEED" w14:paraId="5B6F1FEB" w14:textId="13291504">
            <w:r w:rsidR="25B6CEED">
              <w:rPr/>
              <w:t>LT1A – Describe the relationship between the measurable properties (ex: melting point, boiling point, vapor pressure, surface tension) of a substance and the strength of the electrical forces between the particles of the substance.</w:t>
            </w:r>
          </w:p>
          <w:p w:rsidR="25B6CEED" w:rsidRDefault="25B6CEED" w14:paraId="79145CB7" w14:textId="5F86EA34">
            <w:r w:rsidR="25B6CEED">
              <w:rPr/>
              <w:t xml:space="preserve">LT1B – Develop and implement an investigation plan that describes the data that will be collected and the evidence to be described from the data, including bulk properties of a substance (ex: melting point and boiling </w:t>
            </w:r>
            <w:r w:rsidR="165D9F03">
              <w:rPr/>
              <w:t>point, volatility, surface tension) that would allow inferences to be made about the strength of electrical forces between particles.</w:t>
            </w:r>
          </w:p>
          <w:p w:rsidR="165D9F03" w:rsidRDefault="165D9F03" w14:paraId="4CEC2520" w14:textId="6EB9B18D">
            <w:r w:rsidR="165D9F03">
              <w:rPr/>
              <w:t>LT1C – Use at least two different formats (including oral, graphical, textual, and mathematical) to communicate scientific and technical</w:t>
            </w:r>
            <w:r w:rsidR="37FF4B6B">
              <w:rPr/>
              <w:t xml:space="preserve"> information, including fully describing the structure, properties, and design of the chosen material(s) and the relationship between the material’s function and its macroscopic properties (ex: material strength, conductivity, reactivity, state of matter, durability)</w:t>
            </w:r>
          </w:p>
        </w:tc>
      </w:tr>
      <w:tr w:rsidR="700821F4" w:rsidTr="700821F4" w14:paraId="0122C9B4">
        <w:trPr>
          <w:trHeight w:val="300"/>
        </w:trPr>
        <w:tc>
          <w:tcPr>
            <w:tcW w:w="2155" w:type="dxa"/>
            <w:tcMar/>
          </w:tcPr>
          <w:p w:rsidR="700821F4" w:rsidP="700821F4" w:rsidRDefault="700821F4" w14:paraId="17B13387" w14:textId="1108F902">
            <w:pPr>
              <w:rPr>
                <w:b w:val="1"/>
                <w:bCs w:val="1"/>
              </w:rPr>
            </w:pPr>
            <w:r w:rsidRPr="700821F4" w:rsidR="700821F4">
              <w:rPr>
                <w:b w:val="1"/>
                <w:bCs w:val="1"/>
              </w:rPr>
              <w:t>Assessment(s) for Evidence</w:t>
            </w:r>
          </w:p>
        </w:tc>
        <w:tc>
          <w:tcPr>
            <w:tcW w:w="7195" w:type="dxa"/>
            <w:tcMar/>
          </w:tcPr>
          <w:p w:rsidR="3ECEA196" w:rsidRDefault="3ECEA196" w14:paraId="516E5881" w14:textId="73697105">
            <w:r w:rsidR="3ECEA196">
              <w:rPr/>
              <w:t>Test – (practice quizzes for review)</w:t>
            </w:r>
          </w:p>
          <w:p w:rsidR="700821F4" w:rsidRDefault="700821F4" w14:paraId="11ACFE5C"/>
          <w:p w:rsidR="700821F4" w:rsidRDefault="700821F4" w14:paraId="389AC4AD"/>
        </w:tc>
      </w:tr>
      <w:tr w:rsidR="700821F4" w:rsidTr="700821F4" w14:paraId="297C2C5C">
        <w:trPr>
          <w:trHeight w:val="300"/>
        </w:trPr>
        <w:tc>
          <w:tcPr>
            <w:tcW w:w="2155" w:type="dxa"/>
            <w:tcMar/>
          </w:tcPr>
          <w:p w:rsidR="700821F4" w:rsidP="700821F4" w:rsidRDefault="700821F4" w14:paraId="52B32463" w14:textId="7B0FC6B7">
            <w:pPr>
              <w:rPr>
                <w:b w:val="1"/>
                <w:bCs w:val="1"/>
              </w:rPr>
            </w:pPr>
            <w:r w:rsidRPr="700821F4" w:rsidR="700821F4">
              <w:rPr>
                <w:b w:val="1"/>
                <w:bCs w:val="1"/>
              </w:rPr>
              <w:t>Resources/Links</w:t>
            </w:r>
          </w:p>
        </w:tc>
        <w:tc>
          <w:tcPr>
            <w:tcW w:w="7195" w:type="dxa"/>
            <w:tcMar/>
          </w:tcPr>
          <w:p w:rsidR="0E97E094" w:rsidRDefault="0E97E094" w14:paraId="1C5959EF" w14:textId="5AA45903">
            <w:r w:rsidR="0E97E094">
              <w:rPr/>
              <w:t>Binder Materials</w:t>
            </w:r>
          </w:p>
        </w:tc>
      </w:tr>
    </w:tbl>
    <w:p w:rsidR="700821F4" w:rsidRDefault="700821F4" w14:paraId="31646160" w14:textId="35230AB7"/>
    <w:p w:rsidR="700821F4" w:rsidRDefault="700821F4" w14:paraId="2304D725" w14:textId="25BFB68A"/>
    <w:sectPr w:rsidR="004520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208229">
    <w:abstractNumId w:val="0"/>
  </w:num>
  <w:num w:numId="2" w16cid:durableId="628517740">
    <w:abstractNumId w:val="3"/>
  </w:num>
  <w:num w:numId="3" w16cid:durableId="360518879">
    <w:abstractNumId w:val="1"/>
  </w:num>
  <w:num w:numId="4" w16cid:durableId="727191873">
    <w:abstractNumId w:val="4"/>
  </w:num>
  <w:num w:numId="5" w16cid:durableId="144218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202444"/>
    <w:rsid w:val="002421C6"/>
    <w:rsid w:val="002A756C"/>
    <w:rsid w:val="002B30A3"/>
    <w:rsid w:val="00452077"/>
    <w:rsid w:val="008D0A96"/>
    <w:rsid w:val="009D5CBB"/>
    <w:rsid w:val="00C55D7E"/>
    <w:rsid w:val="00D80E06"/>
    <w:rsid w:val="00EF664F"/>
    <w:rsid w:val="00FD399E"/>
    <w:rsid w:val="010F33C5"/>
    <w:rsid w:val="019D2EC2"/>
    <w:rsid w:val="01B66C74"/>
    <w:rsid w:val="026424C1"/>
    <w:rsid w:val="048BF742"/>
    <w:rsid w:val="073E1C08"/>
    <w:rsid w:val="089027A9"/>
    <w:rsid w:val="08964A43"/>
    <w:rsid w:val="08A234FA"/>
    <w:rsid w:val="0A877510"/>
    <w:rsid w:val="0B884659"/>
    <w:rsid w:val="0CB0F966"/>
    <w:rsid w:val="0E97E094"/>
    <w:rsid w:val="1139A137"/>
    <w:rsid w:val="115AD5F4"/>
    <w:rsid w:val="13379683"/>
    <w:rsid w:val="13F8000B"/>
    <w:rsid w:val="1584B265"/>
    <w:rsid w:val="15FA267F"/>
    <w:rsid w:val="165D9F03"/>
    <w:rsid w:val="16F702BA"/>
    <w:rsid w:val="16F702BA"/>
    <w:rsid w:val="17E7B97E"/>
    <w:rsid w:val="18DC99A8"/>
    <w:rsid w:val="18DC99A8"/>
    <w:rsid w:val="1ACBDA11"/>
    <w:rsid w:val="1B18628A"/>
    <w:rsid w:val="1B8D8FDA"/>
    <w:rsid w:val="1CC829EA"/>
    <w:rsid w:val="1D684636"/>
    <w:rsid w:val="20326AD4"/>
    <w:rsid w:val="20326AD4"/>
    <w:rsid w:val="206AB445"/>
    <w:rsid w:val="232F896C"/>
    <w:rsid w:val="25072FB9"/>
    <w:rsid w:val="25B6CEED"/>
    <w:rsid w:val="26DD77F1"/>
    <w:rsid w:val="26DD77F1"/>
    <w:rsid w:val="272D378F"/>
    <w:rsid w:val="2815807D"/>
    <w:rsid w:val="2815807D"/>
    <w:rsid w:val="2BE097B7"/>
    <w:rsid w:val="2DAEEE2F"/>
    <w:rsid w:val="2E941B21"/>
    <w:rsid w:val="2EE8972D"/>
    <w:rsid w:val="314689D0"/>
    <w:rsid w:val="31851E3E"/>
    <w:rsid w:val="3499B652"/>
    <w:rsid w:val="3499B652"/>
    <w:rsid w:val="37FF4B6B"/>
    <w:rsid w:val="38150294"/>
    <w:rsid w:val="3A0E53FB"/>
    <w:rsid w:val="3C54857F"/>
    <w:rsid w:val="3D1E19FD"/>
    <w:rsid w:val="3D407AA4"/>
    <w:rsid w:val="3E09A795"/>
    <w:rsid w:val="3ECEA196"/>
    <w:rsid w:val="4031FA28"/>
    <w:rsid w:val="403D897D"/>
    <w:rsid w:val="426544BC"/>
    <w:rsid w:val="42F8CBE3"/>
    <w:rsid w:val="44196377"/>
    <w:rsid w:val="446F0EE1"/>
    <w:rsid w:val="45773A28"/>
    <w:rsid w:val="4669B65A"/>
    <w:rsid w:val="4737141F"/>
    <w:rsid w:val="47627CC2"/>
    <w:rsid w:val="47C224A9"/>
    <w:rsid w:val="47E1F8B9"/>
    <w:rsid w:val="47F65294"/>
    <w:rsid w:val="49C9AFAC"/>
    <w:rsid w:val="4A323B2D"/>
    <w:rsid w:val="4A78F53A"/>
    <w:rsid w:val="4C7E1905"/>
    <w:rsid w:val="4D5D7757"/>
    <w:rsid w:val="4E5EB4B1"/>
    <w:rsid w:val="4FE0D485"/>
    <w:rsid w:val="51D2893B"/>
    <w:rsid w:val="524C82E5"/>
    <w:rsid w:val="525B698D"/>
    <w:rsid w:val="5283F2EA"/>
    <w:rsid w:val="538DC2F7"/>
    <w:rsid w:val="53C944AD"/>
    <w:rsid w:val="53CD3529"/>
    <w:rsid w:val="55CF961A"/>
    <w:rsid w:val="56A47A16"/>
    <w:rsid w:val="56A47A16"/>
    <w:rsid w:val="56B1D828"/>
    <w:rsid w:val="56ECFEB8"/>
    <w:rsid w:val="57E05013"/>
    <w:rsid w:val="5A9F932C"/>
    <w:rsid w:val="5E19286C"/>
    <w:rsid w:val="5E937160"/>
    <w:rsid w:val="61C4CF9F"/>
    <w:rsid w:val="625E01E4"/>
    <w:rsid w:val="6A3774E8"/>
    <w:rsid w:val="6AEBFE33"/>
    <w:rsid w:val="6B0DDC45"/>
    <w:rsid w:val="6B18E61F"/>
    <w:rsid w:val="6BC32BFF"/>
    <w:rsid w:val="6BFF19EE"/>
    <w:rsid w:val="6CC5E0B7"/>
    <w:rsid w:val="6E35A818"/>
    <w:rsid w:val="700821F4"/>
    <w:rsid w:val="708444A9"/>
    <w:rsid w:val="70A78EC5"/>
    <w:rsid w:val="71A99B39"/>
    <w:rsid w:val="71C81F11"/>
    <w:rsid w:val="71E219C2"/>
    <w:rsid w:val="72B56F27"/>
    <w:rsid w:val="732502C8"/>
    <w:rsid w:val="7690B432"/>
    <w:rsid w:val="76A2A3C7"/>
    <w:rsid w:val="76A2A3C7"/>
    <w:rsid w:val="76B9809D"/>
    <w:rsid w:val="7753E9C5"/>
    <w:rsid w:val="776D8720"/>
    <w:rsid w:val="78453281"/>
    <w:rsid w:val="78A03017"/>
    <w:rsid w:val="78D4149C"/>
    <w:rsid w:val="7A25E26F"/>
    <w:rsid w:val="7A72F49C"/>
    <w:rsid w:val="7A82A8C3"/>
    <w:rsid w:val="7B242A30"/>
    <w:rsid w:val="7D486DFF"/>
    <w:rsid w:val="7DE9D0BF"/>
    <w:rsid w:val="7E250756"/>
    <w:rsid w:val="7F61B976"/>
    <w:rsid w:val="7F6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434F1-3BB8-4CF5-A9A9-DE36E22239AC}"/>
</file>

<file path=customXml/itemProps2.xml><?xml version="1.0" encoding="utf-8"?>
<ds:datastoreItem xmlns:ds="http://schemas.openxmlformats.org/officeDocument/2006/customXml" ds:itemID="{2E9F5894-E1F4-4B84-815A-3C23D578F74B}"/>
</file>

<file path=customXml/itemProps3.xml><?xml version="1.0" encoding="utf-8"?>
<ds:datastoreItem xmlns:ds="http://schemas.openxmlformats.org/officeDocument/2006/customXml" ds:itemID="{01CEED8C-B504-4124-AFC6-EB0E496B2D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Galligan, Kathryn</lastModifiedBy>
  <revision>7</revision>
  <dcterms:created xsi:type="dcterms:W3CDTF">2024-09-03T22:05:00.0000000Z</dcterms:created>
  <dcterms:modified xsi:type="dcterms:W3CDTF">2024-12-06T20:22:27.2811773Z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